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a="http://schemas.openxmlformats.org/drawingml/2006/main" xmlns:a14="http://schemas.microsoft.com/office/drawing/2010/main" xmlns:m="http://schemas.openxmlformats.org/officeDocument/2006/math" xmlns:wp="http://schemas.openxmlformats.org/drawingml/2006/wordprocessingDrawing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xmlns:w16cex="http://schemas.microsoft.com/office/word/2018/wordml/cex" xmlns:w16="http://schemas.microsoft.com/office/word/2018/wordml" mc:Ignorable="w14 w15 w16se w16cid w16 w16cex wp14">
  <w:body>
    <!-- Modified by docx4j 8.1.6 (Apache licensed) using REFERENCE JAXB in Oracle Java 1.8.0_271 on Linux -->
    <w:p w:rsidRPr="008D5289" w:rsidR="00AB7AF0" w:rsidP="00CE4866" w:rsidRDefault="00A967DF" w14:paraId="3B33A61A" w14:textId="4B8F0DA2">
      <w:r>
        <w:t xml:space="preserve">AVISO: Este documento contiene un volcado del </w:t>
      </w:r>
      <w:r w:rsidR="00605DAA">
        <w:t>artículo</w:t>
      </w:r>
      <w:r>
        <w:t xml:space="preserve"> del diccionario seleccionado y todos los </w:t>
      </w:r>
      <w:r w:rsidR="00605DAA">
        <w:t>artículos</w:t>
      </w:r>
      <w:r>
        <w:t xml:space="preserve"> relacionados. Si desea realizar alguna modificación sobre estos datos, deberá acudir a la aplicación para realizar esta tarea.</w:t>
      </w:r>
    </w:p>
    <w:sdt>
      <w:sdtPr>
        <w:rPr>
          <w:rFonts w:asciiTheme="minorHAnsi" w:hAnsiTheme="minorHAnsi" w:eastAsiaTheme="minorHAnsi" w:cstheme="minorBidi"/>
          <w:color w:val="auto"/>
          <w:sz w:val="22"/>
          <w:szCs w:val="22"/>
          <w:lang w:eastAsia="en-US"/>
        </w:rPr>
        <w:id w:val="-303782790"/>
        <w:docPartObj>
          <w:docPartGallery w:val="Table of Contents"/>
          <w:docPartUnique/>
        </w:docPartObj>
      </w:sdtPr>
      <w:sdtEndPr/>
      <w:sdtContent>
        <w:p w:rsidR="00194D9C" w:rsidRDefault="00194D9C" w14:paraId="67D9059C" w14:textId="72DA2A93">
          <w:pPr>
            <w:pStyle w:val="TtuloTDC"/>
          </w:pPr>
          <w:r>
            <w:t>Contenido</w:t>
          </w:r>
        </w:p>
        <w:p>
          <w:pPr>
            <w:pStyle w:val="TDC1"/>
            <w:tabs>
              <w:tab w:val="right" w:leader="dot" w:pos="8504"/>
            </w:tabs>
            <w:rPr>
              <w:noProof/>
            </w:rPr>
          </w:pPr>
          <w:r>
            <w:fldChar w:fldCharType="begin"/>
          </w:r>
          <w:r>
            <w:instrText xml:space="preserve">TOC \o "1-3" \h \z \u</w:instrText>
          </w:r>
          <w:r>
            <w:fldChar w:fldCharType="separate"/>
          </w:r>
          <w:hyperlink w:anchor="_Toc521421">
            <w:r>
              <w:rPr>
                <w:rStyle w:val="Hyperlink"/>
              </w:rPr>
              <w:t>Indicador - Duración media de los estudios SIIU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PAGEREF _Toc521421 \h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/>
            </w:r>
            <w:r>
              <w:rPr>
                <w:noProof/>
                <w:webHidden/>
              </w:rPr>
              <w:fldChar w:fldCharType="end"/>
            </w:r>
          </w:hyperlink>
        </w:p>
        <w:p>
          <w:pPr>
            <w:pStyle w:val="TDC2"/>
            <w:tabs>
              <w:tab w:val="right" w:leader="dot" w:pos="8504"/>
            </w:tabs>
            <w:rPr>
              <w:noProof/>
            </w:rPr>
          </w:pPr>
          <w:hyperlink w:anchor="_Toc521422">
            <w:r>
              <w:rPr>
                <w:rStyle w:val="Hyperlink"/>
              </w:rPr>
              <w:t>Descripción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PAGEREF _Toc521422 \h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/>
            </w:r>
            <w:r>
              <w:rPr>
                <w:noProof/>
                <w:webHidden/>
              </w:rPr>
              <w:fldChar w:fldCharType="end"/>
            </w:r>
          </w:hyperlink>
        </w:p>
        <w:p>
          <w:pPr>
            <w:pStyle w:val="TDC2"/>
            <w:tabs>
              <w:tab w:val="right" w:leader="dot" w:pos="8504"/>
            </w:tabs>
            <w:rPr>
              <w:noProof/>
            </w:rPr>
          </w:pPr>
          <w:hyperlink w:anchor="_Toc521423">
            <w:r>
              <w:rPr>
                <w:rStyle w:val="Hyperlink"/>
              </w:rPr>
              <w:t>Forma de cálculo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PAGEREF _Toc521423 \h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/>
            </w:r>
            <w:r>
              <w:rPr>
                <w:noProof/>
                <w:webHidden/>
              </w:rPr>
              <w:fldChar w:fldCharType="end"/>
            </w:r>
          </w:hyperlink>
        </w:p>
        <w:p>
          <w:r>
            <w:fldChar w:fldCharType="end"/>
          </w:r>
        </w:p>
      </w:sdtContent>
    </w:sdt>
    <w:p>
      <w:br w:type="page"/>
    </w:p>
    <w:p>
      <w:pPr>
        <w:pStyle w:val="DiccionarioT1"/>
      </w:pPr>
      <w:bookmarkStart w:name="_Toc521421" w:id="1"/>
      <w:r>
        <w:t>Indicador - Duración media de los estudios SIIU</w:t>
      </w:r>
      <w:bookmarkEnd w:id="1"/>
    </w:p>
    <w:p>
      <w:pPr>
        <w:pStyle w:val="DiccionarioT2"/>
      </w:pPr>
      <w:bookmarkStart w:name="_Toc521422" w:id="2"/>
      <w:r>
        <w:t>Descripción</w:t>
      </w:r>
      <w:bookmarkEnd w:id="2"/>
    </w:p>
    <w:p>
      <w:pPr>
        <w:spacing w:before="269" w:after="269"/>
        <w:ind w:left="0"/>
        <w:jc w:val="left"/>
      </w:pPr>
      <w:r>
        <w:rPr>
          <w:rFonts w:ascii="Calibri" w:hAnsi="Calibri"/>
          <w:b w:val="false"/>
          <w:i w:val="false"/>
          <w:color w:val="000000"/>
          <w:sz w:val="22"/>
        </w:rPr>
        <w:t>Promedio de años que tardan los alumnos desde que se matriculan por 1ª vez en un plan de estudios hasta que se gradúan.</w:t>
      </w:r>
    </w:p>
    <w:p>
      <w:pPr>
        <w:pStyle w:val="DiccionarioT2"/>
      </w:pPr>
      <w:bookmarkStart w:name="_Toc521423" w:id="3"/>
      <w:r>
        <w:t>Forma de cálculo</w:t>
      </w:r>
      <w:bookmarkEnd w:id="3"/>
    </w:p>
    <w:p>
      <w:pPr>
        <w:numPr>
          <w:ilvl w:val="0"/>
          <w:numId w:val="1"/>
        </w:numPr>
        <w:spacing w:before="0" w:after="0"/>
        <w:jc w:val="left"/>
      </w:pPr>
      <w:r>
        <w:rPr>
          <w:rFonts w:ascii="Calibri" w:hAnsi="Calibri"/>
          <w:b/>
          <w:i w:val="false"/>
          <w:color w:val="000000"/>
          <w:sz w:val="22"/>
        </w:rPr>
        <w:t>Sistema origen: </w:t>
      </w:r>
      <w:r>
        <w:rPr>
          <w:rFonts w:ascii="Calibri" w:hAnsi="Calibri"/>
          <w:b w:val="false"/>
          <w:i w:val="false"/>
          <w:color w:val="000000"/>
          <w:sz w:val="22"/>
        </w:rPr>
        <w:t>SIGMA.</w:t>
      </w:r>
    </w:p>
    <w:p>
      <w:pPr>
        <w:numPr>
          <w:ilvl w:val="0"/>
          <w:numId w:val="1"/>
        </w:numPr>
        <w:spacing w:before="0" w:after="0"/>
        <w:jc w:val="left"/>
      </w:pPr>
      <w:r>
        <w:rPr>
          <w:rFonts w:ascii="Calibri" w:hAnsi="Calibri"/>
          <w:b/>
          <w:i w:val="false"/>
          <w:color w:val="000000"/>
          <w:sz w:val="22"/>
        </w:rPr>
        <w:t>Fórmula de cálculo: </w:t>
      </w:r>
    </w:p>
    <w:p>
      <w:pPr>
        <w:numPr>
          <w:ilvl w:val="1"/>
          <w:numId w:val="1"/>
        </w:numPr>
        <w:spacing w:before="0" w:after="0"/>
        <w:jc w:val="left"/>
      </w:pPr>
      <w:r>
        <w:rPr>
          <w:rFonts w:ascii="Calibri" w:hAnsi="Calibri"/>
          <w:b w:val="false"/>
          <w:i w:val="false"/>
          <w:color w:val="000000"/>
          <w:sz w:val="22"/>
          <w:u w:val="single"/>
        </w:rPr>
        <w:t>Numerador</w:t>
      </w:r>
      <w:r>
        <w:rPr>
          <w:rFonts w:ascii="Calibri" w:hAnsi="Calibri"/>
          <w:b w:val="false"/>
          <w:i w:val="false"/>
          <w:color w:val="000000"/>
          <w:sz w:val="22"/>
        </w:rPr>
        <w:t>: Suma (Año académico de egreso – Año académico de 1ª matrícula) + 1</w:t>
      </w:r>
    </w:p>
    <w:p>
      <w:pPr>
        <w:numPr>
          <w:ilvl w:val="1"/>
          <w:numId w:val="1"/>
        </w:numPr>
        <w:spacing w:before="0" w:after="0"/>
        <w:jc w:val="left"/>
      </w:pPr>
      <w:r>
        <w:rPr>
          <w:rFonts w:ascii="Calibri" w:hAnsi="Calibri"/>
          <w:b w:val="false"/>
          <w:i w:val="false"/>
          <w:color w:val="000000"/>
          <w:sz w:val="22"/>
          <w:u w:val="single"/>
        </w:rPr>
        <w:t>Denominador</w:t>
      </w:r>
      <w:r>
        <w:rPr>
          <w:rFonts w:ascii="Calibri" w:hAnsi="Calibri"/>
          <w:b w:val="false"/>
          <w:i w:val="false"/>
          <w:color w:val="000000"/>
          <w:sz w:val="22"/>
        </w:rPr>
        <w:t>: Nº de estudiantes egresados (que han superado o reconocido (atendiendo al criterio de créditos reconocidos de SIIU) los créditos necesarios y suficientes para obtener el título de Grado o Máster)</w:t>
      </w:r>
    </w:p>
    <w:p>
      <w:pPr>
        <w:numPr>
          <w:ilvl w:val="0"/>
          <w:numId w:val="1"/>
        </w:numPr>
        <w:spacing w:before="0" w:after="0"/>
        <w:jc w:val="left"/>
      </w:pPr>
      <w:r>
        <w:rPr>
          <w:rFonts w:ascii="Calibri" w:hAnsi="Calibri"/>
          <w:b w:val="false"/>
          <w:i w:val="false"/>
          <w:color w:val="000000"/>
          <w:sz w:val="22"/>
        </w:rPr>
        <w:t>Por tanto, el indicador “</w:t>
      </w:r>
      <w:r>
        <w:rPr>
          <w:rFonts w:ascii="Calibri" w:hAnsi="Calibri"/>
          <w:b w:val="false"/>
          <w:i/>
          <w:color w:val="000000"/>
          <w:sz w:val="22"/>
        </w:rPr>
        <w:t>Duración media de los estudios SIIU</w:t>
      </w:r>
      <w:r>
        <w:rPr>
          <w:rFonts w:ascii="Calibri" w:hAnsi="Calibri"/>
          <w:b w:val="false"/>
          <w:i w:val="false"/>
          <w:color w:val="000000"/>
          <w:sz w:val="22"/>
        </w:rPr>
        <w:t>” cumple los siguientes criterios:</w:t>
      </w:r>
    </w:p>
    <w:p>
      <w:pPr>
        <w:numPr>
          <w:ilvl w:val="1"/>
          <w:numId w:val="2"/>
        </w:numPr>
        <w:spacing w:before="0" w:after="0"/>
        <w:jc w:val="left"/>
      </w:pPr>
      <w:r>
        <w:rPr>
          <w:rFonts w:ascii="Calibri" w:hAnsi="Calibri"/>
          <w:b w:val="false"/>
          <w:i w:val="false"/>
          <w:color w:val="000000"/>
          <w:sz w:val="22"/>
        </w:rPr>
        <w:t>Tipo de estudio = Grado, Máster</w:t>
      </w:r>
    </w:p>
    <w:p>
      <w:pPr>
        <w:numPr>
          <w:ilvl w:val="1"/>
          <w:numId w:val="2"/>
        </w:numPr>
        <w:spacing w:before="0" w:after="0"/>
        <w:jc w:val="left"/>
      </w:pPr>
      <w:r>
        <w:rPr>
          <w:rFonts w:ascii="Calibri" w:hAnsi="Calibri"/>
          <w:b w:val="false"/>
          <w:i w:val="false"/>
          <w:color w:val="000000"/>
          <w:sz w:val="22"/>
        </w:rPr>
        <w:t>Egresados que han superado o reconocido (atendiendo al criterio de créditos reconocidos de SIIU) los créditos necesarios y suficientes para obtener el título de Grado o Máster</w:t>
      </w:r>
    </w:p>
    <w:p>
      <w:pPr>
        <w:numPr>
          <w:ilvl w:val="1"/>
          <w:numId w:val="2"/>
        </w:numPr>
        <w:spacing w:before="0" w:after="0"/>
        <w:jc w:val="left"/>
      </w:pPr>
      <w:r>
        <w:rPr>
          <w:rFonts w:ascii="Calibri" w:hAnsi="Calibri"/>
          <w:b w:val="false"/>
          <w:i w:val="false"/>
          <w:color w:val="000000"/>
          <w:sz w:val="22"/>
        </w:rPr>
        <w:t xml:space="preserve">Población de referencia = </w:t>
      </w:r>
      <w:hyperlink r:id="rId12">
        <w:r>
          <w:rPr>
            <w:rFonts w:ascii="Calibri" w:hAnsi="Calibri"/>
            <w:b w:val="false"/>
            <w:i w:val="false"/>
            <w:color w:val="0000ff"/>
            <w:sz w:val="22"/>
            <w:u w:val="single"/>
          </w:rPr>
          <w:t>Población Óptima</w:t>
        </w:r>
      </w:hyperlink>
    </w:p>
    <w:p>
      <w:pPr>
        <w:numPr>
          <w:ilvl w:val="0"/>
          <w:numId w:val="1"/>
        </w:numPr>
        <w:spacing w:before="0" w:after="0"/>
        <w:jc w:val="left"/>
      </w:pPr>
      <w:r>
        <w:rPr>
          <w:rFonts w:ascii="Calibri" w:hAnsi="Calibri"/>
          <w:b/>
          <w:i w:val="false"/>
          <w:color w:val="000000"/>
          <w:sz w:val="22"/>
        </w:rPr>
        <w:t>Frecuencia medición: </w:t>
      </w:r>
      <w:r>
        <w:rPr>
          <w:rFonts w:ascii="Calibri" w:hAnsi="Calibri"/>
          <w:b w:val="false"/>
          <w:i w:val="false"/>
          <w:color w:val="000000"/>
          <w:sz w:val="22"/>
        </w:rPr>
        <w:t>Año académico. Datos consolidados a fecha 20 de enero para el último curso académico cerrado, excepto para estudios de máster, cuyos datos consolidados son a fecha 20 de marzo para el último curso académico cerrado.</w:t>
      </w:r>
    </w:p>
    <w:sectPr w:rsidRPr="007C6722" w:rsidR="0071652F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a="http://schemas.openxmlformats.org/drawingml/2006/main" xmlns:a14="http://schemas.microsoft.com/office/drawing/2010/main" xmlns:m="http://schemas.openxmlformats.org/officeDocument/2006/math" xmlns:wp="http://schemas.openxmlformats.org/drawingml/2006/wordprocessingDrawing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xmlns:w16cex="http://schemas.microsoft.com/office/word/2018/wordml/cex" xmlns:w16="http://schemas.microsoft.com/office/word/2018/wordml" mc:Ignorable="w14 w15 w16se w16cid w16 w16cex wp14">
  <w:endnote w:type="separator" w:id="-1">
    <w:p w:rsidR="00322415" w:rsidP="00194D9C" w:rsidRDefault="00322415" w14:paraId="73576C46" w14:textId="77777777">
      <w:pPr>
        <w:spacing w:after="0" w:line="240" w:lineRule="auto"/>
      </w:pPr>
      <w:r>
        <w:separator/>
      </w:r>
    </w:p>
  </w:endnote>
  <w:endnote w:type="continuationSeparator" w:id="0">
    <w:p w:rsidR="00322415" w:rsidP="00194D9C" w:rsidRDefault="00322415" w14:paraId="1BAA040D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a="http://schemas.openxmlformats.org/drawingml/2006/main" xmlns:a14="http://schemas.microsoft.com/office/drawing/2010/main" xmlns:m="http://schemas.openxmlformats.org/officeDocument/2006/math" xmlns:wp="http://schemas.openxmlformats.org/drawingml/2006/wordprocessingDrawing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a="http://schemas.openxmlformats.org/drawingml/2006/main" xmlns:a14="http://schemas.microsoft.com/office/drawing/2010/main" xmlns:m="http://schemas.openxmlformats.org/officeDocument/2006/math" xmlns:wp="http://schemas.openxmlformats.org/drawingml/2006/wordprocessingDrawing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xmlns:w16cex="http://schemas.microsoft.com/office/word/2018/wordml/cex" xmlns:w16="http://schemas.microsoft.com/office/word/2018/wordml" mc:Ignorable="w14 w15 w16se w16cid w16 w16cex wp14">
  <w:p w:rsidR="00194D9C" w:rsidRDefault="009E24A4" w14:paraId="03F6E09F" w14:textId="6E6DDD05">
    <w:pPr>
      <w:pStyle w:val="Piedepgina"/>
    </w:pPr>
    <w:r>
      <w:ptab w:alignment="center" w:relativeTo="margin" w:leader="none"/>
    </w:r>
    <w:r>
      <w:t xml:space="preserve">Página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>
      <w:rPr>
        <w:b/>
        <w:bCs/>
      </w:rPr>
      <w:t>1</w:t>
    </w:r>
    <w:r>
      <w:rPr>
        <w:b/>
        <w:bCs/>
      </w:rPr>
      <w:fldChar w:fldCharType="end"/>
    </w:r>
    <w:r>
      <w:t xml:space="preserve"> de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>
      <w:rPr>
        <w:b/>
        <w:bCs/>
      </w:rPr>
      <w:t>2</w:t>
    </w:r>
    <w:r>
      <w:rPr>
        <w:b/>
        <w:bCs/>
      </w:rPr>
      <w:fldChar w:fldCharType="end"/>
    </w:r>
    <w:r>
      <w:ptab w:alignment="right" w:relativeTo="margin" w:leader="none"/>
    </w:r>
    <w:r w:rsidR="001F3A22">
      <w:t>29/03/2024</w:t>
    </w:r>
  </w:p>
</w:ftr>
</file>

<file path=word/footnotes.xml><?xml version="1.0" encoding="utf-8"?>
<w:footnotes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a="http://schemas.openxmlformats.org/drawingml/2006/main" xmlns:a14="http://schemas.microsoft.com/office/drawing/2010/main" xmlns:m="http://schemas.openxmlformats.org/officeDocument/2006/math" xmlns:wp="http://schemas.openxmlformats.org/drawingml/2006/wordprocessingDrawing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xmlns:w16cex="http://schemas.microsoft.com/office/word/2018/wordml/cex" xmlns:w16="http://schemas.microsoft.com/office/word/2018/wordml" mc:Ignorable="w14 w15 w16se w16cid w16 w16cex wp14">
  <w:footnote w:type="separator" w:id="-1">
    <w:p w:rsidR="00322415" w:rsidP="00194D9C" w:rsidRDefault="00322415" w14:paraId="62B6913A" w14:textId="77777777">
      <w:pPr>
        <w:spacing w:after="0" w:line="240" w:lineRule="auto"/>
      </w:pPr>
      <w:r>
        <w:separator/>
      </w:r>
    </w:p>
  </w:footnote>
  <w:footnote w:type="continuationSeparator" w:id="0">
    <w:p w:rsidR="00322415" w:rsidP="00194D9C" w:rsidRDefault="00322415" w14:paraId="2344995F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a="http://schemas.openxmlformats.org/drawingml/2006/main" xmlns:a14="http://schemas.microsoft.com/office/drawing/2010/main" xmlns:m="http://schemas.openxmlformats.org/officeDocument/2006/math" xmlns:wp="http://schemas.openxmlformats.org/drawingml/2006/wordprocessingDrawing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xmlns:w16cex="http://schemas.microsoft.com/office/word/2018/wordml/cex" xmlns:w16="http://schemas.microsoft.com/office/word/2018/wordml" mc:Ignorable="w14 w15 w16se w16cid w16 w16cex wp14">
  <w:p w:rsidRPr="009F7F50" w:rsidR="00194D9C" w:rsidP="009F7F50" w:rsidRDefault="009F7F50" w14:paraId="1D0F9DE4" w14:textId="16C33CD7">
    <w:pPr>
      <w:pStyle w:val="Encabezado"/>
    </w:pPr>
    <w:r>
      <w:rPr>
        <w:noProof/>
      </w:rPr>
      <w:drawing>
        <wp:inline distT="0" distB="0" distL="0" distR="0">
          <wp:extent cx="3200400" cy="742950"/>
          <wp:effectExtent l="0" t="0" r="0" b="0"/>
          <wp:docPr id="4" name="Imagen 4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6"/>
                  <pic:cNvPicPr>
                    <a:picLocks noChangeAspect="true" noChangeArrowheads="true"/>
                  </pic:cNvPicPr>
                </pic:nvPicPr>
                <pic:blipFill rotWithShape="true">
                  <a:blip r:embed="rId1">
                    <a:extLst>
                      <a:ext uri="{28A0092B-C50C-407E-A947-70E740481C1C}">
                        <a14:useLocalDpi val="false"/>
                      </a:ext>
                    </a:extLst>
                  </a:blip>
                  <a:srcRect l="21343" t="28180" r="19391" b="29551"/>
                  <a:stretch/>
                </pic:blipFill>
                <pic:spPr bwMode="auto">
                  <a:xfrm>
                    <a:off x="0" y="0"/>
                    <a:ext cx="32004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a="http://schemas.openxmlformats.org/drawingml/2006/main" xmlns:a14="http://schemas.microsoft.com/office/drawing/2010/main" xmlns:m="http://schemas.openxmlformats.org/officeDocument/2006/math" xmlns:wp="http://schemas.openxmlformats.org/drawingml/2006/wordprocessingDrawing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abstractNum w:abstractNumId="1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  <w:lvl w:ilvl="1">
      <w:start w:val="1"/>
      <w:numFmt w:val="bullet"/>
      <w:lvlText w:val="o"/>
      <w:lvlJc w:val="left"/>
      <w:pPr>
        <w:ind w:left="1560" w:hanging="360"/>
      </w:pPr>
      <w:rPr>
        <w:rFonts w:hint="default" w:ascii="Courier New" w:hAnsi="Courier New" w:cs="Courier New"/>
      </w:rPr>
    </w:lvl>
  </w:abstractNum>
  <w:num w:numId="1">
    <w:abstractNumId w:val="1"/>
  </w:num>
  <w:num w:numId="2">
    <w:abstractNumId w:val="1"/>
    <w:lvlOverride w:ilvl="1">
      <w:startOverride w:val="1"/>
      <w:lvl w:ilvl="1">
        <w:numFmt w:val="bullet"/>
        <w:lvlText w:val="o"/>
        <w:pPr>
          <w:ind w:left="1560" w:hanging="360"/>
        </w:pPr>
        <w:rPr>
          <w:rFonts w:hint="default" w:ascii="Courier New" w:hAnsi="Courier New" w:cs="Courier New"/>
        </w:rPr>
      </w:lvl>
    </w:lvlOverride>
  </w:num>
</w:numbering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a="http://schemas.openxmlformats.org/drawingml/2006/main" xmlns:a14="http://schemas.microsoft.com/office/drawing/2010/main" xmlns:m="http://schemas.openxmlformats.org/officeDocument/2006/math" xmlns:wp="http://schemas.openxmlformats.org/drawingml/2006/wordprocessingDrawing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w14 w15">
  <w:zoom w:percent="100"/>
  <w:proofState w:spelling="clean" w:grammar="clean"/>
  <w:defaultTabStop w:val="708"/>
  <w:hyphenationZone w:val="425"/>
  <w:characterSpacingControl w:val="doNotCompress"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D9C"/>
    <w:rsid w:val="000E4E9A"/>
    <w:rsid w:val="00110083"/>
    <w:rsid w:val="0012283E"/>
    <w:rsid w:val="00132BCF"/>
    <w:rsid w:val="00194D9C"/>
    <w:rsid w:val="001D0D98"/>
    <w:rsid w:val="001F3A22"/>
    <w:rsid w:val="00322415"/>
    <w:rsid w:val="003D082A"/>
    <w:rsid w:val="00497EB0"/>
    <w:rsid w:val="00605DAA"/>
    <w:rsid w:val="006D2EC2"/>
    <w:rsid w:val="0071652F"/>
    <w:rsid w:val="007C6722"/>
    <w:rsid w:val="008D5289"/>
    <w:rsid w:val="009A0749"/>
    <w:rsid w:val="009E24A4"/>
    <w:rsid w:val="009F43E7"/>
    <w:rsid w:val="009F7F50"/>
    <w:rsid w:val="00A0705A"/>
    <w:rsid w:val="00A967DF"/>
    <w:rsid w:val="00AB7AF0"/>
    <w:rsid w:val="00CC374E"/>
    <w:rsid w:val="00CE4866"/>
    <w:rsid w:val="00EE6789"/>
    <w:rsid w:val="00F64136"/>
    <w:rsid w:val="00F74C47"/>
    <w:rsid w:val="00FE5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2049" v:ext="edit"/>
    <o:shapelayout v:ext="edit">
      <o:idmap data="1" v:ext="edit"/>
    </o:shapelayout>
  </w:shapeDefaults>
  <w:decimalSymbol w:val=","/>
  <w:listSeparator w:val=";"/>
  <w15:chartTrackingRefBased/>
  <w14:docId w14:val="64AAEF4B"/>
  <w15:docId w15:val="{3AAE9707-0ED5-4B78-AFAF-14D780C249E8}"/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a="http://schemas.openxmlformats.org/drawingml/2006/main" xmlns:a14="http://schemas.microsoft.com/office/drawing/2010/main" xmlns:m="http://schemas.openxmlformats.org/officeDocument/2006/math" xmlns:wp="http://schemas.openxmlformats.org/drawingml/2006/wordprocessingDrawing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xmlns:w16cex="http://schemas.microsoft.com/office/word/2018/wordml/cex" xmlns:w16="http://schemas.microsoft.com/office/word/2018/wordml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6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  <w:lsdException w:name="Smart Link" w:semiHidden="true" w:unhideWhenUsed="true"/>
  </w:latentStyles>
  <w:style w:type="paragraph" w:styleId="Normal" w:default="true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194D9C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94D9C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194D9C"/>
    <w:pPr>
      <w:keepNext/>
      <w:keepLines/>
      <w:spacing w:before="40" w:after="0"/>
      <w:outlineLvl w:val="2"/>
    </w:pPr>
    <w:rPr>
      <w:rFonts w:asciiTheme="majorHAnsi" w:hAnsiTheme="majorHAnsi" w:eastAsiaTheme="majorEastAsia" w:cstheme="majorBidi"/>
      <w:color w:val="1F3763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194D9C"/>
    <w:pPr>
      <w:keepNext/>
      <w:keepLines/>
      <w:spacing w:before="40" w:after="0"/>
      <w:outlineLvl w:val="3"/>
    </w:pPr>
    <w:rPr>
      <w:rFonts w:asciiTheme="majorHAnsi" w:hAnsiTheme="majorHAnsi" w:eastAsiaTheme="majorEastAsia" w:cstheme="majorBidi"/>
      <w:i/>
      <w:iCs/>
      <w:color w:val="2F5496" w:themeColor="accent1" w:themeShade="BF"/>
    </w:rPr>
  </w:style>
  <w:style w:type="character" w:styleId="Fuentedeprrafopredeter" w:default="true">
    <w:name w:val="Default Paragraph Font"/>
    <w:uiPriority w:val="1"/>
    <w:semiHidden/>
    <w:unhideWhenUsed/>
  </w:style>
  <w:style w:type="table" w:styleId="Tabla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true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94D9C"/>
    <w:pPr>
      <w:tabs>
        <w:tab w:val="center" w:pos="4252"/>
        <w:tab w:val="right" w:pos="8504"/>
      </w:tabs>
      <w:spacing w:after="0" w:line="240" w:lineRule="auto"/>
    </w:pPr>
  </w:style>
  <w:style w:type="character" w:styleId="EncabezadoCar" w:customStyle="true">
    <w:name w:val="Encabezado Car"/>
    <w:basedOn w:val="Fuentedeprrafopredeter"/>
    <w:link w:val="Encabezado"/>
    <w:uiPriority w:val="99"/>
    <w:rsid w:val="00194D9C"/>
  </w:style>
  <w:style w:type="paragraph" w:styleId="Piedepgina">
    <w:name w:val="footer"/>
    <w:basedOn w:val="Normal"/>
    <w:link w:val="PiedepginaCar"/>
    <w:uiPriority w:val="99"/>
    <w:unhideWhenUsed/>
    <w:rsid w:val="00194D9C"/>
    <w:pPr>
      <w:tabs>
        <w:tab w:val="center" w:pos="4252"/>
        <w:tab w:val="right" w:pos="8504"/>
      </w:tabs>
      <w:spacing w:after="0" w:line="240" w:lineRule="auto"/>
    </w:pPr>
  </w:style>
  <w:style w:type="character" w:styleId="PiedepginaCar" w:customStyle="true">
    <w:name w:val="Pie de página Car"/>
    <w:basedOn w:val="Fuentedeprrafopredeter"/>
    <w:link w:val="Piedepgina"/>
    <w:uiPriority w:val="99"/>
    <w:rsid w:val="00194D9C"/>
  </w:style>
  <w:style w:type="character" w:styleId="Ttulo1Car" w:customStyle="true">
    <w:name w:val="Título 1 Car"/>
    <w:basedOn w:val="Fuentedeprrafopredeter"/>
    <w:link w:val="Ttulo1"/>
    <w:uiPriority w:val="9"/>
    <w:rsid w:val="00194D9C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Ttulo2Car" w:customStyle="true">
    <w:name w:val="Título 2 Car"/>
    <w:basedOn w:val="Fuentedeprrafopredeter"/>
    <w:link w:val="Ttulo2"/>
    <w:uiPriority w:val="9"/>
    <w:rsid w:val="00194D9C"/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character" w:styleId="Ttulo3Car" w:customStyle="true">
    <w:name w:val="Título 3 Car"/>
    <w:basedOn w:val="Fuentedeprrafopredeter"/>
    <w:link w:val="Ttulo3"/>
    <w:uiPriority w:val="9"/>
    <w:rsid w:val="00194D9C"/>
    <w:rPr>
      <w:rFonts w:asciiTheme="majorHAnsi" w:hAnsiTheme="majorHAnsi" w:eastAsiaTheme="majorEastAsia" w:cstheme="majorBidi"/>
      <w:color w:val="1F3763" w:themeColor="accent1" w:themeShade="7F"/>
      <w:sz w:val="24"/>
      <w:szCs w:val="24"/>
    </w:rPr>
  </w:style>
  <w:style w:type="character" w:styleId="Ttulo4Car" w:customStyle="true">
    <w:name w:val="Título 4 Car"/>
    <w:basedOn w:val="Fuentedeprrafopredeter"/>
    <w:link w:val="Ttulo4"/>
    <w:uiPriority w:val="9"/>
    <w:rsid w:val="00194D9C"/>
    <w:rPr>
      <w:rFonts w:asciiTheme="majorHAnsi" w:hAnsiTheme="majorHAnsi" w:eastAsiaTheme="majorEastAsia" w:cstheme="majorBidi"/>
      <w:i/>
      <w:iCs/>
      <w:color w:val="2F5496" w:themeColor="accent1" w:themeShade="BF"/>
    </w:rPr>
  </w:style>
  <w:style w:type="paragraph" w:styleId="TtuloTDC">
    <w:name w:val="TOC Heading"/>
    <w:basedOn w:val="Ttulo1"/>
    <w:next w:val="Normal"/>
    <w:uiPriority w:val="39"/>
    <w:unhideWhenUsed/>
    <w:qFormat/>
    <w:rsid w:val="00194D9C"/>
    <w:pPr>
      <w:outlineLvl w:val="9"/>
    </w:pPr>
    <w:rPr>
      <w:lang w:eastAsia="es-ES"/>
    </w:rPr>
  </w:style>
  <w:style w:type="paragraph" w:styleId="TDC1">
    <w:name w:val="toc 1"/>
    <w:basedOn w:val="Normal"/>
    <w:next w:val="Normal"/>
    <w:autoRedefine/>
    <w:uiPriority w:val="39"/>
    <w:unhideWhenUsed/>
    <w:rsid w:val="00194D9C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194D9C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unhideWhenUsed/>
    <w:rsid w:val="00194D9C"/>
    <w:pPr>
      <w:spacing w:after="100"/>
      <w:ind w:left="440"/>
    </w:pPr>
  </w:style>
  <w:style w:type="character" w:styleId="Hipervnculo">
    <w:name w:val="Hyperlink"/>
    <w:basedOn w:val="Fuentedeprrafopredeter"/>
    <w:uiPriority w:val="99"/>
    <w:unhideWhenUsed/>
    <w:rsid w:val="00194D9C"/>
    <w:rPr>
      <w:color w:val="0563C1" w:themeColor="hyperlink"/>
      <w:u w:val="single"/>
    </w:rPr>
  </w:style>
  <w:style w:type="paragraph" w:styleId="DiccionarioT1" w:customStyle="true">
    <w:name w:val="DiccionarioT1"/>
    <w:basedOn w:val="Ttulo1"/>
    <w:next w:val="Normal"/>
    <w:link w:val="DiccionarioT1Car"/>
    <w:qFormat/>
    <w:rsid w:val="008D5289"/>
  </w:style>
  <w:style w:type="character" w:styleId="DiccionarioT1Car" w:customStyle="true">
    <w:name w:val="DiccionarioT1 Car"/>
    <w:basedOn w:val="Ttulo1Car"/>
    <w:link w:val="DiccionarioT1"/>
    <w:rsid w:val="008D5289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DiccionarioT2" w:customStyle="true">
    <w:name w:val="DiccionarioT2"/>
    <w:basedOn w:val="Ttulo2"/>
    <w:next w:val="Normal"/>
    <w:link w:val="DiccionarioT2Car"/>
    <w:qFormat/>
    <w:rsid w:val="00497EB0"/>
    <w:rPr>
      <w:b/>
      <w:bCs/>
    </w:rPr>
  </w:style>
  <w:style w:type="paragraph" w:styleId="DiccionarioT3" w:customStyle="true">
    <w:name w:val="DiccionarioT3"/>
    <w:basedOn w:val="Ttulo3"/>
    <w:next w:val="Normal"/>
    <w:link w:val="DiccionarioT3Car"/>
    <w:qFormat/>
    <w:rsid w:val="00497EB0"/>
  </w:style>
  <w:style w:type="character" w:styleId="DiccionarioT2Car" w:customStyle="true">
    <w:name w:val="DiccionarioT2 Car"/>
    <w:basedOn w:val="Ttulo2Car"/>
    <w:link w:val="DiccionarioT2"/>
    <w:rsid w:val="00497EB0"/>
    <w:rPr>
      <w:rFonts w:asciiTheme="majorHAnsi" w:hAnsiTheme="majorHAnsi" w:eastAsiaTheme="majorEastAsia" w:cstheme="majorBidi"/>
      <w:b/>
      <w:bCs/>
      <w:color w:val="2F5496" w:themeColor="accent1" w:themeShade="BF"/>
      <w:sz w:val="26"/>
      <w:szCs w:val="26"/>
    </w:rPr>
  </w:style>
  <w:style w:type="paragraph" w:styleId="DiccionarioT4" w:customStyle="true">
    <w:name w:val="DiccionarioT4"/>
    <w:basedOn w:val="Ttulo4"/>
    <w:next w:val="Normal"/>
    <w:link w:val="DiccionarioT4Car"/>
    <w:qFormat/>
    <w:rsid w:val="00497EB0"/>
  </w:style>
  <w:style w:type="character" w:styleId="DiccionarioT3Car" w:customStyle="true">
    <w:name w:val="DiccionarioT3 Car"/>
    <w:basedOn w:val="Ttulo3Car"/>
    <w:link w:val="DiccionarioT3"/>
    <w:rsid w:val="00497EB0"/>
    <w:rPr>
      <w:rFonts w:asciiTheme="majorHAnsi" w:hAnsiTheme="majorHAnsi" w:eastAsiaTheme="majorEastAsia" w:cstheme="majorBidi"/>
      <w:color w:val="1F3763" w:themeColor="accent1" w:themeShade="7F"/>
      <w:sz w:val="24"/>
      <w:szCs w:val="24"/>
    </w:rPr>
  </w:style>
  <w:style w:type="character" w:styleId="DiccionarioT4Car" w:customStyle="true">
    <w:name w:val="DiccionarioT4 Car"/>
    <w:basedOn w:val="Ttulo4Car"/>
    <w:link w:val="DiccionarioT4"/>
    <w:rsid w:val="00497EB0"/>
    <w:rPr>
      <w:rFonts w:asciiTheme="majorHAnsi" w:hAnsiTheme="majorHAnsi" w:eastAsiaTheme="majorEastAsia" w:cstheme="majorBidi"/>
      <w:i/>
      <w:iCs/>
      <w:color w:val="2F5496" w:themeColor="accent1" w:themeShade="BF"/>
    </w:rPr>
  </w:style>
  <w:style w:type="paragraph" w:styleId="TOC4">
    <w:name w:val="toc 4"/>
    <w:basedOn w:val="Normal"/>
    <w:next w:val="Normal"/>
    <w:autoRedefine/>
    <w:uiPriority w:val="39"/>
    <w:unhideWhenUsed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unhideWhenUsed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unhideWhenUsed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unhideWhenUsed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unhideWhenUsed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unhideWhenUsed/>
    <w:pPr>
      <w:spacing w:after="100"/>
      <w:ind w:left="1760"/>
    </w:pPr>
  </w:style>
  <w:style w:type="character" w:styleId="Hyperlink">
    <w:name w:val="Hyperlink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a="http://schemas.openxmlformats.org/drawingml/2006/main" xmlns:a14="http://schemas.microsoft.com/office/drawing/2010/main" xmlns:m="http://schemas.openxmlformats.org/officeDocument/2006/math" xmlns:wp="http://schemas.openxmlformats.org/drawingml/2006/wordprocessingDrawing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footer1.xml" Type="http://schemas.openxmlformats.org/officeDocument/2006/relationships/footer" Id="rId8"/>
    <Relationship Target="settings.xml" Type="http://schemas.openxmlformats.org/officeDocument/2006/relationships/settings" Id="rId3"/>
    <Relationship Target="header1.xml" Type="http://schemas.openxmlformats.org/officeDocument/2006/relationships/header" Id="rId7"/>
    <Relationship Target="styles.xml" Type="http://schemas.openxmlformats.org/officeDocument/2006/relationships/styles" Id="rId2"/>
    <Relationship Target="../customXml/item1.xml" Type="http://schemas.openxmlformats.org/officeDocument/2006/relationships/customXml" Id="rId1"/>
    <Relationship Target="endnotes.xml" Type="http://schemas.openxmlformats.org/officeDocument/2006/relationships/endnotes" Id="rId6"/>
    <Relationship Target="footnotes.xml" Type="http://schemas.openxmlformats.org/officeDocument/2006/relationships/footnotes" Id="rId5"/>
    <Relationship Target="theme/theme1.xml" Type="http://schemas.openxmlformats.org/officeDocument/2006/relationships/theme" Id="rId10"/>
    <Relationship Target="webSettings.xml" Type="http://schemas.openxmlformats.org/officeDocument/2006/relationships/webSettings" Id="rId4"/>
    <Relationship Target="fontTable.xml" Type="http://schemas.openxmlformats.org/officeDocument/2006/relationships/fontTable" Id="rId9"/>
    <Relationship Target="numbering.xml" Type="http://schemas.openxmlformats.org/officeDocument/2006/relationships/numbering" Id="rId11"/>
    <Relationship TargetMode="External" Target="./PreviewConcept.action?conceptCode=10266" Type="http://schemas.openxmlformats.org/officeDocument/2006/relationships/hyperlink" Id="rId12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a="http://schemas.openxmlformats.org/drawingml/2006/main" xmlns:a14="http://schemas.microsoft.com/office/drawing/2010/main" xmlns:m="http://schemas.openxmlformats.org/officeDocument/2006/math" xmlns:wp="http://schemas.openxmlformats.org/drawingml/2006/wordprocessingDrawing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name="Office Theme" id="{62F939B6-93AF-4DB8-9C6B-D6C7DFDC589F}" vid="{4A3C46E8-61CC-4603-A589-7422A47A8E4A}"/>
    </a:ext>
  </a:extLst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a="http://schemas.openxmlformats.org/drawingml/2006/main" xmlns:a14="http://schemas.microsoft.com/office/drawing/2010/main" xmlns:m="http://schemas.openxmlformats.org/officeDocument/2006/math" xmlns:wp="http://schemas.openxmlformats.org/drawingml/2006/wordprocessingDrawing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SelectedStyle="\APASixthEditionOfficeOnline.xsl" StyleName="APA"/>
</file>

<file path=customXml/itemProps1.xml><?xml version="1.0" encoding="utf-8"?>
<ds:datastoreItem xmlns:ds="http://schemas.openxmlformats.org/officeDocument/2006/customXml" ds:itemID="{F3789612-98FF-4340-8A4E-94E7BC07F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56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Eduardo Casitas</cp:lastModifiedBy>
  <cp:revision>17</cp:revision>
  <dcterms:created xsi:type="dcterms:W3CDTF">2020-05-20T10:44:00Z</dcterms:created>
  <dcterms:modified xsi:type="dcterms:W3CDTF">2021-03-18T08:57:00Z</dcterms:modified>
</cp:coreProperties>
</file>