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271 on Linux -->
    <w:p w:rsidRPr="008D5289" w:rsidR="00AB7AF0" w:rsidP="00CE4866" w:rsidRDefault="00A967DF" w14:paraId="3B33A61A" w14:textId="4B8F0DA2">
      <w:r>
        <w:t xml:space="preserve">AVISO: Este documento contiene un volcado del </w:t>
      </w:r>
      <w:r w:rsidR="00605DAA">
        <w:t>artículo</w:t>
      </w:r>
      <w:r>
        <w:t xml:space="preserve"> del diccionario seleccionado y todos los </w:t>
      </w:r>
      <w:r w:rsidR="00605DAA">
        <w:t>artículos</w:t>
      </w:r>
      <w:r>
        <w:t xml:space="preserve"> relacionados. Si desea realizar alguna modificación sobre estos datos, deberá acudir a la aplicación para realizar esta tarea.</w:t>
      </w: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303782790"/>
        <w:docPartObj>
          <w:docPartGallery w:val="Table of Contents"/>
          <w:docPartUnique/>
        </w:docPartObj>
      </w:sdtPr>
      <w:sdtEndPr/>
      <w:sdtContent>
        <w:p w:rsidR="00194D9C" w:rsidRDefault="00194D9C" w14:paraId="67D9059C" w14:textId="72DA2A93">
          <w:pPr>
            <w:pStyle w:val="TtuloTDC"/>
          </w:pPr>
          <w:r>
            <w:t>Contenido</w:t>
          </w:r>
        </w:p>
        <w:p>
          <w:pPr>
            <w:pStyle w:val="TDC1"/>
            <w:tabs>
              <w:tab w:val="right" w:leader="dot" w:pos="8504"/>
            </w:tabs>
            <w:rPr>
              <w:noProof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5454461">
            <w:r>
              <w:rPr>
                <w:rStyle w:val="Hyperlink"/>
              </w:rPr>
              <w:t>Indicador - Tasa de abandono en segundo año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_Toc5454461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504"/>
            </w:tabs>
            <w:rPr>
              <w:noProof/>
            </w:rPr>
          </w:pPr>
          <w:hyperlink w:anchor="_Toc5454462">
            <w:r>
              <w:rPr>
                <w:rStyle w:val="Hyperlink"/>
              </w:rPr>
              <w:t>Descripción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_Toc5454462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504"/>
            </w:tabs>
            <w:rPr>
              <w:noProof/>
            </w:rPr>
          </w:pPr>
          <w:hyperlink w:anchor="_Toc5454463">
            <w:r>
              <w:rPr>
                <w:rStyle w:val="Hyperlink"/>
              </w:rPr>
              <w:t>Forma de cálculo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_Toc5454463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504"/>
            </w:tabs>
            <w:rPr>
              <w:noProof/>
            </w:rPr>
          </w:pPr>
          <w:hyperlink w:anchor="_Toc5454464">
            <w:r>
              <w:rPr>
                <w:rStyle w:val="Hyperlink"/>
              </w:rPr>
              <w:t>Artículos relacionados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_Toc5454464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3"/>
            <w:tabs>
              <w:tab w:val="right" w:leader="dot" w:pos="8504"/>
            </w:tabs>
            <w:rPr>
              <w:noProof/>
            </w:rPr>
          </w:pPr>
          <w:hyperlink w:anchor="_Toc5454465">
            <w:r>
              <w:rPr>
                <w:rStyle w:val="Hyperlink"/>
              </w:rPr>
              <w:t>Indicador - Tasa de abandono global de la cohorte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_Toc5454465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r>
            <w:fldChar w:fldCharType="end"/>
          </w:r>
        </w:p>
      </w:sdtContent>
    </w:sdt>
    <w:p>
      <w:br w:type="page"/>
    </w:p>
    <w:p>
      <w:pPr>
        <w:pStyle w:val="DiccionarioT1"/>
      </w:pPr>
      <w:bookmarkStart w:name="_Toc5454461" w:id="1"/>
      <w:r>
        <w:t>Indicador - Tasa de abandono en segundo año</w:t>
      </w:r>
      <w:bookmarkEnd w:id="1"/>
    </w:p>
    <w:p>
      <w:pPr>
        <w:pStyle w:val="DiccionarioT2"/>
      </w:pPr>
      <w:bookmarkStart w:name="_Toc5454462" w:id="2"/>
      <w:r>
        <w:t>Descripción</w:t>
      </w:r>
      <w:bookmarkEnd w:id="2"/>
    </w:p>
    <w:p>
      <w:pPr>
        <w:spacing w:before="269" w:after="269"/>
        <w:ind w:left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Porcentaje de estudiantes de una cohorte de nuevo ingreso en el curso X, matriculados en el título T en el curso X+1, que sin haberse graduado en ese título no se han matriculado en el curso X+2 ni en el curso X+3.</w:t>
      </w:r>
    </w:p>
    <w:p>
      <w:pPr>
        <w:pStyle w:val="DiccionarioT2"/>
      </w:pPr>
      <w:bookmarkStart w:name="_Toc5454463" w:id="3"/>
      <w:r>
        <w:t>Forma de cálculo</w:t>
      </w:r>
      <w:bookmarkEnd w:id="3"/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Sistema origen: </w:t>
      </w:r>
      <w:r>
        <w:rPr>
          <w:rFonts w:ascii="Calibri" w:hAnsi="Calibri"/>
          <w:b w:val="false"/>
          <w:i w:val="false"/>
          <w:color w:val="000000"/>
          <w:sz w:val="22"/>
        </w:rPr>
        <w:t>SIGMA.</w:t>
      </w:r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Fórmula de cálculo: </w:t>
      </w:r>
      <w:r>
        <w:rPr>
          <w:rFonts w:ascii="Calibri" w:hAnsi="Calibri"/>
          <w:b w:val="false"/>
          <w:i w:val="false"/>
          <w:color w:val="000000"/>
          <w:sz w:val="22"/>
        </w:rPr>
        <w:t>(Nº de estudiantes que abandonan sus estudios en 2º año / Nº de estudiantes de la cohorte de ingreso de referencia) * 100</w:t>
      </w:r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Por tanto, el indicador “Tasa de abandono en 2º año” cumple los siguientes criterios: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Tipo de estudio = Grado, Máster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Contabilizan en el numerador los alumnos que:</w:t>
      </w:r>
    </w:p>
    <w:p>
      <w:pPr>
        <w:numPr>
          <w:ilvl w:val="2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Estaban matriculados en la titulación (T) en el curso X.</w:t>
      </w:r>
    </w:p>
    <w:p>
      <w:pPr>
        <w:numPr>
          <w:ilvl w:val="2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Estaban matriculados en la titulación (T) en el curso X+1</w:t>
      </w:r>
    </w:p>
    <w:p>
      <w:pPr>
        <w:numPr>
          <w:ilvl w:val="2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No están matriculados en la titulación (T) en el curso X+2</w:t>
      </w:r>
    </w:p>
    <w:p>
      <w:pPr>
        <w:numPr>
          <w:ilvl w:val="2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No están matriculados en la titulación (T) en el curso X+3</w:t>
      </w:r>
    </w:p>
    <w:p>
      <w:pPr>
        <w:numPr>
          <w:ilvl w:val="2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Estudiantes que no han superado o reconocido (atendiendo al criterio de créditos reconocidos de SIIU) los créditos necesarios y suficientes para obtener el título de Grado o Máster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No tienen cerrado su expediente, es decir, no se han graduado en la titulación (T)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 xml:space="preserve">Población de referencia = </w:t>
      </w:r>
      <w:hyperlink r:id="rId12">
        <w:r>
          <w:rPr>
            <w:rFonts w:ascii="Calibri" w:hAnsi="Calibri"/>
            <w:b w:val="false"/>
            <w:i w:val="false"/>
            <w:color w:val="0000ff"/>
            <w:sz w:val="22"/>
            <w:u w:val="single"/>
          </w:rPr>
          <w:t>Población Total</w:t>
        </w:r>
      </w:hyperlink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Frecuencia medición: </w:t>
      </w:r>
      <w:r>
        <w:rPr>
          <w:rFonts w:ascii="Calibri" w:hAnsi="Calibri"/>
          <w:b w:val="false"/>
          <w:i w:val="false"/>
          <w:color w:val="000000"/>
          <w:sz w:val="22"/>
        </w:rPr>
        <w:t>Año académico. Datos consolidados a fecha 20 de enero para el último curso académico cerrado.</w:t>
      </w:r>
    </w:p>
    <w:p>
      <w:pPr>
        <w:spacing w:before="269" w:after="269"/>
        <w:ind w:left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*Nota aclaratoria: </w:t>
      </w:r>
      <w:r>
        <w:rPr>
          <w:rFonts w:ascii="Calibri" w:hAnsi="Calibri"/>
          <w:b w:val="false"/>
          <w:i w:val="false"/>
          <w:color w:val="000000"/>
          <w:sz w:val="22"/>
        </w:rPr>
        <w:t>Los estudiantes matriculados en una titulación simple en el curso X, que en el curso X+1 se matricularon en esa misma titulación simple O en una titulación doble que esté conformada por esa misma titulación simple Y que en los cursos siguientes (X+2 O X+3) se matriculen en una titulación doble que esté conformada por esa misma titulación simple, no computan como abandonos.</w:t>
      </w:r>
    </w:p>
    <w:p>
      <w:pPr>
        <w:pStyle w:val="DiccionarioT2"/>
      </w:pPr>
      <w:bookmarkStart w:name="_Toc5454464" w:id="4"/>
      <w:r>
        <w:t>Artículos relacionados</w:t>
      </w:r>
      <w:bookmarkEnd w:id="4"/>
    </w:p>
    <w:p>
      <w:pPr>
        <w:pStyle w:val="DiccionarioT3"/>
      </w:pPr>
      <w:bookmarkStart w:name="_Toc5454465" w:id="5"/>
      <w:r>
        <w:t>Indicador - Tasa de abandono global de la cohorte</w:t>
      </w:r>
      <w:bookmarkEnd w:id="5"/>
    </w:p>
    <w:p>
      <w:pPr>
        <w:pStyle w:val="DiccionarioT4"/>
      </w:pPr>
      <w:r>
        <w:t>Descripción</w:t>
      </w:r>
    </w:p>
    <w:p>
      <w:pPr>
        <w:spacing w:before="269" w:after="269"/>
        <w:ind w:left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Suma de las tasas parciales de abandono en 1er, 2º y 3er año.</w:t>
      </w:r>
    </w:p>
    <w:p>
      <w:pPr>
        <w:pStyle w:val="DiccionarioT4"/>
      </w:pPr>
      <w:r>
        <w:t>Forma de cálculo</w:t>
      </w:r>
    </w:p>
    <w:p>
      <w:pPr>
        <w:numPr>
          <w:ilvl w:val="0"/>
          <w:numId w:val="2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Sistema origen: </w:t>
      </w:r>
      <w:r>
        <w:rPr>
          <w:rFonts w:ascii="Calibri" w:hAnsi="Calibri"/>
          <w:b w:val="false"/>
          <w:i w:val="false"/>
          <w:color w:val="000000"/>
          <w:sz w:val="22"/>
        </w:rPr>
        <w:t>SIGMA.</w:t>
      </w:r>
    </w:p>
    <w:p>
      <w:pPr>
        <w:numPr>
          <w:ilvl w:val="0"/>
          <w:numId w:val="2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 xml:space="preserve">Fórmula de cálculo: </w:t>
      </w:r>
      <w:hyperlink r:id="rId13">
        <w:r>
          <w:rPr>
            <w:rFonts w:ascii="Calibri" w:hAnsi="Calibri"/>
            <w:b w:val="false"/>
            <w:i w:val="false"/>
            <w:color w:val="0000ff"/>
            <w:sz w:val="22"/>
            <w:u w:val="single"/>
          </w:rPr>
          <w:t>Tasa de abandono en primer año</w:t>
        </w:r>
      </w:hyperlink>
      <w:r>
        <w:rPr>
          <w:rFonts w:ascii="Calibri" w:hAnsi="Calibri"/>
          <w:b w:val="false"/>
          <w:i w:val="false"/>
          <w:color w:val="000000"/>
          <w:sz w:val="22"/>
        </w:rPr>
        <w:t xml:space="preserve"> + </w:t>
      </w:r>
      <w:hyperlink r:id="rId14">
        <w:r>
          <w:rPr>
            <w:rFonts w:ascii="Calibri" w:hAnsi="Calibri"/>
            <w:b w:val="false"/>
            <w:i w:val="false"/>
            <w:color w:val="0000ff"/>
            <w:sz w:val="22"/>
            <w:u w:val="single"/>
          </w:rPr>
          <w:t>Tasa de abandono en segundo año</w:t>
        </w:r>
      </w:hyperlink>
      <w:r>
        <w:rPr>
          <w:rFonts w:ascii="Calibri" w:hAnsi="Calibri"/>
          <w:b w:val="false"/>
          <w:i w:val="false"/>
          <w:color w:val="000000"/>
          <w:sz w:val="22"/>
        </w:rPr>
        <w:t xml:space="preserve"> + </w:t>
      </w:r>
      <w:hyperlink r:id="rId15">
        <w:r>
          <w:rPr>
            <w:rFonts w:ascii="Calibri" w:hAnsi="Calibri"/>
            <w:b w:val="false"/>
            <w:i w:val="false"/>
            <w:color w:val="0000ff"/>
            <w:sz w:val="22"/>
            <w:u w:val="single"/>
          </w:rPr>
          <w:t>Tasa de abandono en tercer año</w:t>
        </w:r>
      </w:hyperlink>
    </w:p>
    <w:p>
      <w:pPr>
        <w:numPr>
          <w:ilvl w:val="0"/>
          <w:numId w:val="2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Frecuencia medición: </w:t>
      </w:r>
      <w:r>
        <w:rPr>
          <w:rFonts w:ascii="Calibri" w:hAnsi="Calibri"/>
          <w:b w:val="false"/>
          <w:i w:val="false"/>
          <w:color w:val="000000"/>
          <w:sz w:val="22"/>
        </w:rPr>
        <w:t>Año académico. Datos consolidados a fecha 20 de enero para el último curso académico cerrado.</w:t>
      </w:r>
    </w:p>
    <w:sectPr w:rsidRPr="007C6722" w:rsidR="007165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endnote w:type="separator" w:id="-1">
    <w:p w:rsidR="00322415" w:rsidP="00194D9C" w:rsidRDefault="00322415" w14:paraId="73576C46" w14:textId="77777777">
      <w:pPr>
        <w:spacing w:after="0" w:line="240" w:lineRule="auto"/>
      </w:pPr>
      <w:r>
        <w:separator/>
      </w:r>
    </w:p>
  </w:endnote>
  <w:endnote w:type="continuationSeparator" w:id="0">
    <w:p w:rsidR="00322415" w:rsidP="00194D9C" w:rsidRDefault="00322415" w14:paraId="1BAA04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p w:rsidR="00194D9C" w:rsidRDefault="009E24A4" w14:paraId="03F6E09F" w14:textId="6E6DDD05">
    <w:pPr>
      <w:pStyle w:val="Piedepgina"/>
    </w:pPr>
    <w:r>
      <w:ptab w:alignment="center" w:relativeTo="margin" w:leader="none"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alignment="right" w:relativeTo="margin" w:leader="none"/>
    </w:r>
    <w:r w:rsidR="001F3A22">
      <w:t>29/03/2024</w:t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footnote w:type="separator" w:id="-1">
    <w:p w:rsidR="00322415" w:rsidP="00194D9C" w:rsidRDefault="00322415" w14:paraId="62B6913A" w14:textId="77777777">
      <w:pPr>
        <w:spacing w:after="0" w:line="240" w:lineRule="auto"/>
      </w:pPr>
      <w:r>
        <w:separator/>
      </w:r>
    </w:p>
  </w:footnote>
  <w:footnote w:type="continuationSeparator" w:id="0">
    <w:p w:rsidR="00322415" w:rsidP="00194D9C" w:rsidRDefault="00322415" w14:paraId="234499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p w:rsidRPr="009F7F50" w:rsidR="00194D9C" w:rsidP="009F7F50" w:rsidRDefault="009F7F50" w14:paraId="1D0F9DE4" w14:textId="16C33CD7">
    <w:pPr>
      <w:pStyle w:val="Encabezado"/>
    </w:pPr>
    <w:r>
      <w:rPr>
        <w:noProof/>
      </w:rPr>
      <w:drawing>
        <wp:inline distT="0" distB="0" distL="0" distR="0">
          <wp:extent cx="3200400" cy="742950"/>
          <wp:effectExtent l="0" t="0" r="0" b="0"/>
          <wp:docPr id="4" name="Imagen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>
                    <a:picLocks noChangeAspect="true" noChangeArrowheads="true"/>
                  </pic:cNvPicPr>
                </pic:nvPicPr>
                <pic:blipFill rotWithShape="true"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rcRect l="21343" t="28180" r="19391" b="29551"/>
                  <a:stretch/>
                </pic:blipFill>
                <pic:spPr bwMode="auto">
                  <a:xfrm>
                    <a:off x="0" y="0"/>
                    <a:ext cx="3200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9C"/>
    <w:rsid w:val="000E4E9A"/>
    <w:rsid w:val="00110083"/>
    <w:rsid w:val="0012283E"/>
    <w:rsid w:val="00132BCF"/>
    <w:rsid w:val="00194D9C"/>
    <w:rsid w:val="001D0D98"/>
    <w:rsid w:val="001F3A22"/>
    <w:rsid w:val="00322415"/>
    <w:rsid w:val="003D082A"/>
    <w:rsid w:val="00497EB0"/>
    <w:rsid w:val="00605DAA"/>
    <w:rsid w:val="006D2EC2"/>
    <w:rsid w:val="0071652F"/>
    <w:rsid w:val="007C6722"/>
    <w:rsid w:val="008D5289"/>
    <w:rsid w:val="009A0749"/>
    <w:rsid w:val="009E24A4"/>
    <w:rsid w:val="009F43E7"/>
    <w:rsid w:val="009F7F50"/>
    <w:rsid w:val="00A0705A"/>
    <w:rsid w:val="00A967DF"/>
    <w:rsid w:val="00AB7AF0"/>
    <w:rsid w:val="00CC374E"/>
    <w:rsid w:val="00CE4866"/>
    <w:rsid w:val="00EE6789"/>
    <w:rsid w:val="00F64136"/>
    <w:rsid w:val="00F74C47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4AAEF4B"/>
  <w15:docId w15:val="{3AAE9707-0ED5-4B78-AFAF-14D780C249E8}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4D9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4D9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4D9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4D9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Fuentedeprrafopredeter" w:default="true">
    <w:name w:val="Default Paragraph Font"/>
    <w:uiPriority w:val="1"/>
    <w:semiHidden/>
    <w:unhideWhenUsed/>
  </w:style>
  <w:style w:type="table" w:styleId="Tabla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true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D9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true">
    <w:name w:val="Encabezado Car"/>
    <w:basedOn w:val="Fuentedeprrafopredeter"/>
    <w:link w:val="Encabezado"/>
    <w:uiPriority w:val="99"/>
    <w:rsid w:val="00194D9C"/>
  </w:style>
  <w:style w:type="paragraph" w:styleId="Piedepgina">
    <w:name w:val="footer"/>
    <w:basedOn w:val="Normal"/>
    <w:link w:val="PiedepginaCar"/>
    <w:uiPriority w:val="99"/>
    <w:unhideWhenUsed/>
    <w:rsid w:val="00194D9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true">
    <w:name w:val="Pie de página Car"/>
    <w:basedOn w:val="Fuentedeprrafopredeter"/>
    <w:link w:val="Piedepgina"/>
    <w:uiPriority w:val="99"/>
    <w:rsid w:val="00194D9C"/>
  </w:style>
  <w:style w:type="character" w:styleId="Ttulo1Car" w:customStyle="true">
    <w:name w:val="Título 1 Car"/>
    <w:basedOn w:val="Fuentedeprrafopredeter"/>
    <w:link w:val="Ttulo1"/>
    <w:uiPriority w:val="9"/>
    <w:rsid w:val="00194D9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2Car" w:customStyle="true">
    <w:name w:val="Título 2 Car"/>
    <w:basedOn w:val="Fuentedeprrafopredeter"/>
    <w:link w:val="Ttulo2"/>
    <w:uiPriority w:val="9"/>
    <w:rsid w:val="00194D9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3Car" w:customStyle="true">
    <w:name w:val="Título 3 Car"/>
    <w:basedOn w:val="Fuentedeprrafopredeter"/>
    <w:link w:val="Ttulo3"/>
    <w:uiPriority w:val="9"/>
    <w:rsid w:val="00194D9C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tulo4Car" w:customStyle="true">
    <w:name w:val="Título 4 Car"/>
    <w:basedOn w:val="Fuentedeprrafopredeter"/>
    <w:link w:val="Ttulo4"/>
    <w:uiPriority w:val="9"/>
    <w:rsid w:val="00194D9C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TDC">
    <w:name w:val="TOC Heading"/>
    <w:basedOn w:val="Ttulo1"/>
    <w:next w:val="Normal"/>
    <w:uiPriority w:val="39"/>
    <w:unhideWhenUsed/>
    <w:qFormat/>
    <w:rsid w:val="00194D9C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94D9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94D9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94D9C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94D9C"/>
    <w:rPr>
      <w:color w:val="0563C1" w:themeColor="hyperlink"/>
      <w:u w:val="single"/>
    </w:rPr>
  </w:style>
  <w:style w:type="paragraph" w:styleId="DiccionarioT1" w:customStyle="true">
    <w:name w:val="DiccionarioT1"/>
    <w:basedOn w:val="Ttulo1"/>
    <w:next w:val="Normal"/>
    <w:link w:val="DiccionarioT1Car"/>
    <w:qFormat/>
    <w:rsid w:val="008D5289"/>
  </w:style>
  <w:style w:type="character" w:styleId="DiccionarioT1Car" w:customStyle="true">
    <w:name w:val="DiccionarioT1 Car"/>
    <w:basedOn w:val="Ttulo1Car"/>
    <w:link w:val="DiccionarioT1"/>
    <w:rsid w:val="008D528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DiccionarioT2" w:customStyle="true">
    <w:name w:val="DiccionarioT2"/>
    <w:basedOn w:val="Ttulo2"/>
    <w:next w:val="Normal"/>
    <w:link w:val="DiccionarioT2Car"/>
    <w:qFormat/>
    <w:rsid w:val="00497EB0"/>
    <w:rPr>
      <w:b/>
      <w:bCs/>
    </w:rPr>
  </w:style>
  <w:style w:type="paragraph" w:styleId="DiccionarioT3" w:customStyle="true">
    <w:name w:val="DiccionarioT3"/>
    <w:basedOn w:val="Ttulo3"/>
    <w:next w:val="Normal"/>
    <w:link w:val="DiccionarioT3Car"/>
    <w:qFormat/>
    <w:rsid w:val="00497EB0"/>
  </w:style>
  <w:style w:type="character" w:styleId="DiccionarioT2Car" w:customStyle="true">
    <w:name w:val="DiccionarioT2 Car"/>
    <w:basedOn w:val="Ttulo2Car"/>
    <w:link w:val="DiccionarioT2"/>
    <w:rsid w:val="00497EB0"/>
    <w:rPr>
      <w:rFonts w:asciiTheme="majorHAnsi" w:hAnsiTheme="majorHAnsi" w:eastAsiaTheme="majorEastAsia" w:cstheme="majorBidi"/>
      <w:b/>
      <w:bCs/>
      <w:color w:val="2F5496" w:themeColor="accent1" w:themeShade="BF"/>
      <w:sz w:val="26"/>
      <w:szCs w:val="26"/>
    </w:rPr>
  </w:style>
  <w:style w:type="paragraph" w:styleId="DiccionarioT4" w:customStyle="true">
    <w:name w:val="DiccionarioT4"/>
    <w:basedOn w:val="Ttulo4"/>
    <w:next w:val="Normal"/>
    <w:link w:val="DiccionarioT4Car"/>
    <w:qFormat/>
    <w:rsid w:val="00497EB0"/>
  </w:style>
  <w:style w:type="character" w:styleId="DiccionarioT3Car" w:customStyle="true">
    <w:name w:val="DiccionarioT3 Car"/>
    <w:basedOn w:val="Ttulo3Car"/>
    <w:link w:val="DiccionarioT3"/>
    <w:rsid w:val="00497EB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iccionarioT4Car" w:customStyle="true">
    <w:name w:val="DiccionarioT4 Car"/>
    <w:basedOn w:val="Ttulo4Car"/>
    <w:link w:val="DiccionarioT4"/>
    <w:rsid w:val="00497EB0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numbering.xml" Type="http://schemas.openxmlformats.org/officeDocument/2006/relationships/numbering" Id="rId11"/>
    <Relationship TargetMode="External" Target="./PreviewConcept.action?conceptCode=10200" Type="http://schemas.openxmlformats.org/officeDocument/2006/relationships/hyperlink" Id="rId12"/>
    <Relationship TargetMode="External" Target="./PreviewConcept.action?conceptCode=10260" Type="http://schemas.openxmlformats.org/officeDocument/2006/relationships/hyperlink" Id="rId13"/>
    <Relationship TargetMode="External" Target="./PreviewConcept.action?conceptCode=10261" Type="http://schemas.openxmlformats.org/officeDocument/2006/relationships/hyperlink" Id="rId14"/>
    <Relationship TargetMode="External" Target="./PreviewConcept.action?conceptCode=10262" Type="http://schemas.openxmlformats.org/officeDocument/2006/relationships/hyperlink" Id="rId15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F3789612-98FF-4340-8A4E-94E7BC07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Eduardo Casitas</cp:lastModifiedBy>
  <cp:revision>17</cp:revision>
  <dcterms:created xsi:type="dcterms:W3CDTF">2020-05-20T10:44:00Z</dcterms:created>
  <dcterms:modified xsi:type="dcterms:W3CDTF">2021-03-18T08:57:00Z</dcterms:modified>
</cp:coreProperties>
</file>